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0FE4A7">
      <w:pPr>
        <w:jc w:val="left"/>
        <w:outlineLvl w:val="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表7：</w:t>
      </w:r>
    </w:p>
    <w:p w14:paraId="6EC399FB">
      <w:pPr>
        <w:adjustRightInd w:val="0"/>
        <w:snapToGrid w:val="0"/>
        <w:spacing w:line="560" w:lineRule="exact"/>
        <w:jc w:val="center"/>
        <w:outlineLvl w:val="0"/>
        <w:rPr>
          <w:rFonts w:ascii="方正小标宋简体" w:eastAsia="方正小标宋简体"/>
          <w:color w:val="000000"/>
          <w:sz w:val="44"/>
          <w:szCs w:val="44"/>
        </w:rPr>
      </w:pPr>
      <w:r>
        <w:rPr>
          <w:rFonts w:hint="eastAsia" w:ascii="方正小标宋简体" w:eastAsia="方正小标宋简体"/>
          <w:color w:val="000000"/>
          <w:sz w:val="44"/>
          <w:szCs w:val="44"/>
        </w:rPr>
        <w:t>湖北省地方标准编制说明</w:t>
      </w:r>
    </w:p>
    <w:p w14:paraId="60F71EAE">
      <w:pPr>
        <w:adjustRightInd w:val="0"/>
        <w:snapToGrid w:val="0"/>
        <w:spacing w:line="300" w:lineRule="exact"/>
        <w:jc w:val="right"/>
        <w:rPr>
          <w:rFonts w:ascii="方正小标宋简体" w:eastAsia="方正小标宋简体"/>
          <w:color w:val="000000"/>
          <w:sz w:val="44"/>
          <w:szCs w:val="44"/>
        </w:rPr>
      </w:pPr>
    </w:p>
    <w:p w14:paraId="0360D3A7">
      <w:pPr>
        <w:adjustRightInd w:val="0"/>
        <w:snapToGrid w:val="0"/>
        <w:spacing w:line="560" w:lineRule="exact"/>
        <w:jc w:val="right"/>
        <w:rPr>
          <w:rFonts w:ascii="方正仿宋_GBK" w:hAnsi="宋体" w:eastAsia="方正仿宋_GBK"/>
          <w:color w:val="000000"/>
          <w:sz w:val="32"/>
          <w:szCs w:val="32"/>
        </w:rPr>
      </w:pPr>
      <w:r>
        <w:rPr>
          <w:rFonts w:hint="eastAsia" w:ascii="方正仿宋_GBK" w:hAnsi="宋体" w:eastAsia="方正仿宋_GBK"/>
          <w:color w:val="000000"/>
          <w:sz w:val="32"/>
          <w:szCs w:val="32"/>
        </w:rPr>
        <w:t>2</w:t>
      </w:r>
      <w:r>
        <w:rPr>
          <w:rFonts w:ascii="方正仿宋_GBK" w:hAnsi="宋体" w:eastAsia="方正仿宋_GBK"/>
          <w:color w:val="000000"/>
          <w:sz w:val="32"/>
          <w:szCs w:val="32"/>
        </w:rPr>
        <w:t>025</w:t>
      </w:r>
      <w:r>
        <w:rPr>
          <w:rFonts w:hint="eastAsia" w:ascii="方正仿宋_GBK" w:hAnsi="宋体" w:eastAsia="方正仿宋_GBK"/>
          <w:color w:val="000000"/>
          <w:sz w:val="32"/>
          <w:szCs w:val="32"/>
        </w:rPr>
        <w:t>年</w:t>
      </w:r>
      <w:r>
        <w:rPr>
          <w:rFonts w:ascii="方正仿宋_GBK" w:hAnsi="宋体" w:eastAsia="方正仿宋_GBK"/>
          <w:color w:val="000000"/>
          <w:sz w:val="32"/>
          <w:szCs w:val="32"/>
        </w:rPr>
        <w:t>8</w:t>
      </w:r>
      <w:r>
        <w:rPr>
          <w:rFonts w:hint="eastAsia" w:ascii="方正仿宋_GBK" w:hAnsi="宋体" w:eastAsia="方正仿宋_GBK"/>
          <w:color w:val="000000"/>
          <w:sz w:val="32"/>
          <w:szCs w:val="32"/>
        </w:rPr>
        <w:t>月</w:t>
      </w:r>
      <w:r>
        <w:rPr>
          <w:rFonts w:ascii="方正仿宋_GBK" w:hAnsi="宋体" w:eastAsia="方正仿宋_GBK"/>
          <w:color w:val="000000"/>
          <w:sz w:val="32"/>
          <w:szCs w:val="32"/>
        </w:rPr>
        <w:t>21</w:t>
      </w:r>
      <w:r>
        <w:rPr>
          <w:rFonts w:hint="eastAsia" w:ascii="方正仿宋_GBK" w:hAnsi="宋体" w:eastAsia="方正仿宋_GBK"/>
          <w:color w:val="000000"/>
          <w:sz w:val="32"/>
          <w:szCs w:val="32"/>
        </w:rPr>
        <w:t xml:space="preserve">日      </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0"/>
        <w:gridCol w:w="2562"/>
        <w:gridCol w:w="1374"/>
        <w:gridCol w:w="2516"/>
      </w:tblGrid>
      <w:tr w14:paraId="360D0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215" w:type="pct"/>
            <w:vAlign w:val="center"/>
          </w:tcPr>
          <w:p w14:paraId="34A46A5C">
            <w:pPr>
              <w:adjustRightInd w:val="0"/>
              <w:snapToGrid w:val="0"/>
              <w:spacing w:line="360" w:lineRule="exact"/>
              <w:jc w:val="distribute"/>
              <w:rPr>
                <w:rFonts w:ascii="方正仿宋_GBK" w:eastAsia="方正仿宋_GBK"/>
                <w:color w:val="000000"/>
                <w:sz w:val="28"/>
                <w:szCs w:val="32"/>
              </w:rPr>
            </w:pPr>
            <w:r>
              <w:rPr>
                <w:rFonts w:hint="eastAsia" w:ascii="方正仿宋_GBK" w:eastAsia="方正仿宋_GBK"/>
                <w:color w:val="000000"/>
                <w:sz w:val="28"/>
                <w:szCs w:val="32"/>
              </w:rPr>
              <w:t>标准名称</w:t>
            </w:r>
          </w:p>
        </w:tc>
        <w:tc>
          <w:tcPr>
            <w:tcW w:w="3784" w:type="pct"/>
            <w:gridSpan w:val="3"/>
            <w:vAlign w:val="center"/>
          </w:tcPr>
          <w:p w14:paraId="22912A35">
            <w:pPr>
              <w:adjustRightInd w:val="0"/>
              <w:snapToGrid w:val="0"/>
              <w:spacing w:line="360" w:lineRule="exact"/>
              <w:rPr>
                <w:rFonts w:ascii="仿宋_GB2312" w:hAnsi="仿宋_GB2312" w:eastAsia="仿宋_GB2312"/>
                <w:color w:val="000000"/>
                <w:sz w:val="28"/>
                <w:szCs w:val="32"/>
              </w:rPr>
            </w:pPr>
            <w:r>
              <w:rPr>
                <w:rFonts w:hint="eastAsia" w:ascii="仿宋_GB2312" w:hAnsi="仿宋_GB2312" w:eastAsia="仿宋_GB2312"/>
                <w:color w:val="000000"/>
                <w:sz w:val="28"/>
                <w:szCs w:val="32"/>
              </w:rPr>
              <w:t>危险废物利用处置污染控制技术规范 第</w:t>
            </w:r>
            <w:r>
              <w:rPr>
                <w:rFonts w:ascii="仿宋_GB2312" w:hAnsi="仿宋_GB2312" w:eastAsia="仿宋_GB2312"/>
                <w:color w:val="000000"/>
                <w:sz w:val="28"/>
                <w:szCs w:val="32"/>
              </w:rPr>
              <w:t>4</w:t>
            </w:r>
            <w:r>
              <w:rPr>
                <w:rFonts w:hint="eastAsia" w:ascii="仿宋_GB2312" w:hAnsi="仿宋_GB2312" w:eastAsia="仿宋_GB2312"/>
                <w:color w:val="000000"/>
                <w:sz w:val="28"/>
                <w:szCs w:val="32"/>
              </w:rPr>
              <w:t>部分：</w:t>
            </w:r>
            <w:r>
              <w:rPr>
                <w:rFonts w:ascii="仿宋_GB2312" w:hAnsi="仿宋_GB2312" w:eastAsia="仿宋_GB2312"/>
                <w:color w:val="000000"/>
                <w:sz w:val="28"/>
                <w:szCs w:val="32"/>
              </w:rPr>
              <w:t>含有色金属固体废物</w:t>
            </w:r>
          </w:p>
        </w:tc>
      </w:tr>
      <w:tr w14:paraId="7C04D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5" w:type="pct"/>
            <w:vAlign w:val="center"/>
          </w:tcPr>
          <w:p w14:paraId="2C719244">
            <w:pPr>
              <w:adjustRightInd w:val="0"/>
              <w:snapToGrid w:val="0"/>
              <w:spacing w:line="360" w:lineRule="exact"/>
              <w:jc w:val="distribute"/>
              <w:rPr>
                <w:rFonts w:ascii="方正仿宋_GBK" w:eastAsia="方正仿宋_GBK"/>
                <w:color w:val="000000"/>
                <w:sz w:val="28"/>
                <w:szCs w:val="32"/>
              </w:rPr>
            </w:pPr>
            <w:r>
              <w:rPr>
                <w:rFonts w:hint="eastAsia" w:ascii="方正仿宋_GBK" w:eastAsia="方正仿宋_GBK"/>
                <w:color w:val="000000"/>
                <w:sz w:val="28"/>
                <w:szCs w:val="32"/>
              </w:rPr>
              <w:t>被修订或整合</w:t>
            </w:r>
          </w:p>
          <w:p w14:paraId="1C04FB4B">
            <w:pPr>
              <w:adjustRightInd w:val="0"/>
              <w:snapToGrid w:val="0"/>
              <w:spacing w:line="360" w:lineRule="exact"/>
              <w:jc w:val="distribute"/>
              <w:rPr>
                <w:rFonts w:ascii="方正仿宋_GBK" w:eastAsia="方正仿宋_GBK"/>
                <w:color w:val="000000"/>
                <w:sz w:val="28"/>
                <w:szCs w:val="32"/>
              </w:rPr>
            </w:pPr>
            <w:r>
              <w:rPr>
                <w:rFonts w:hint="eastAsia" w:ascii="方正仿宋_GBK" w:eastAsia="方正仿宋_GBK"/>
                <w:color w:val="000000"/>
                <w:sz w:val="28"/>
                <w:szCs w:val="32"/>
              </w:rPr>
              <w:t>标准名称</w:t>
            </w:r>
          </w:p>
        </w:tc>
        <w:tc>
          <w:tcPr>
            <w:tcW w:w="1503" w:type="pct"/>
            <w:vAlign w:val="center"/>
          </w:tcPr>
          <w:p w14:paraId="062935C1">
            <w:pPr>
              <w:adjustRightInd w:val="0"/>
              <w:snapToGrid w:val="0"/>
              <w:spacing w:line="360" w:lineRule="exact"/>
              <w:rPr>
                <w:rFonts w:ascii="方正仿宋_GBK" w:hAnsi="宋体" w:eastAsia="方正仿宋_GBK"/>
                <w:color w:val="000000"/>
                <w:sz w:val="28"/>
                <w:szCs w:val="32"/>
              </w:rPr>
            </w:pPr>
          </w:p>
        </w:tc>
        <w:tc>
          <w:tcPr>
            <w:tcW w:w="806" w:type="pct"/>
            <w:vAlign w:val="center"/>
          </w:tcPr>
          <w:p w14:paraId="75FFE7DB">
            <w:pPr>
              <w:adjustRightInd w:val="0"/>
              <w:snapToGrid w:val="0"/>
              <w:spacing w:line="360" w:lineRule="exact"/>
              <w:jc w:val="distribute"/>
              <w:rPr>
                <w:rFonts w:ascii="方正仿宋_GBK" w:eastAsia="方正仿宋_GBK"/>
                <w:color w:val="000000"/>
                <w:sz w:val="28"/>
                <w:szCs w:val="32"/>
              </w:rPr>
            </w:pPr>
            <w:r>
              <w:rPr>
                <w:rFonts w:hint="eastAsia" w:ascii="方正仿宋_GBK" w:eastAsia="方正仿宋_GBK"/>
                <w:color w:val="000000"/>
                <w:sz w:val="28"/>
                <w:szCs w:val="32"/>
              </w:rPr>
              <w:t>被代替</w:t>
            </w:r>
          </w:p>
          <w:p w14:paraId="756EA5FB">
            <w:pPr>
              <w:adjustRightInd w:val="0"/>
              <w:snapToGrid w:val="0"/>
              <w:spacing w:line="360" w:lineRule="exact"/>
              <w:rPr>
                <w:rFonts w:ascii="方正仿宋_GBK" w:hAnsi="宋体" w:eastAsia="方正仿宋_GBK"/>
                <w:color w:val="000000"/>
                <w:sz w:val="28"/>
                <w:szCs w:val="32"/>
              </w:rPr>
            </w:pPr>
            <w:r>
              <w:rPr>
                <w:rFonts w:hint="eastAsia" w:ascii="方正仿宋_GBK" w:eastAsia="方正仿宋_GBK"/>
                <w:color w:val="000000"/>
                <w:sz w:val="28"/>
                <w:szCs w:val="32"/>
              </w:rPr>
              <w:t>标准编号</w:t>
            </w:r>
          </w:p>
        </w:tc>
        <w:tc>
          <w:tcPr>
            <w:tcW w:w="1475" w:type="pct"/>
            <w:vAlign w:val="center"/>
          </w:tcPr>
          <w:p w14:paraId="30E27DE7">
            <w:pPr>
              <w:adjustRightInd w:val="0"/>
              <w:snapToGrid w:val="0"/>
              <w:spacing w:line="360" w:lineRule="exact"/>
              <w:rPr>
                <w:rFonts w:ascii="方正仿宋_GBK" w:hAnsi="宋体" w:eastAsia="方正仿宋_GBK"/>
                <w:color w:val="000000"/>
                <w:sz w:val="28"/>
                <w:szCs w:val="32"/>
              </w:rPr>
            </w:pPr>
          </w:p>
        </w:tc>
      </w:tr>
      <w:tr w14:paraId="1540A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3" w:hRule="atLeast"/>
          <w:jc w:val="center"/>
        </w:trPr>
        <w:tc>
          <w:tcPr>
            <w:tcW w:w="1215" w:type="pct"/>
            <w:vAlign w:val="center"/>
          </w:tcPr>
          <w:p w14:paraId="61324F87">
            <w:pPr>
              <w:adjustRightInd w:val="0"/>
              <w:snapToGrid w:val="0"/>
              <w:spacing w:line="360" w:lineRule="exact"/>
              <w:jc w:val="distribute"/>
              <w:rPr>
                <w:rFonts w:ascii="方正仿宋_GBK" w:eastAsia="方正仿宋_GBK"/>
                <w:color w:val="000000"/>
                <w:sz w:val="28"/>
                <w:szCs w:val="32"/>
              </w:rPr>
            </w:pPr>
            <w:r>
              <w:rPr>
                <w:rFonts w:hint="eastAsia" w:ascii="方正仿宋_GBK" w:eastAsia="方正仿宋_GBK"/>
                <w:color w:val="000000"/>
                <w:sz w:val="28"/>
                <w:szCs w:val="32"/>
              </w:rPr>
              <w:t>起草单位</w:t>
            </w:r>
          </w:p>
          <w:p w14:paraId="6221D8F7">
            <w:pPr>
              <w:adjustRightInd w:val="0"/>
              <w:snapToGrid w:val="0"/>
              <w:spacing w:line="360" w:lineRule="exact"/>
              <w:jc w:val="distribute"/>
              <w:rPr>
                <w:rFonts w:ascii="方正仿宋_GBK" w:eastAsia="方正仿宋_GBK"/>
                <w:color w:val="000000"/>
                <w:sz w:val="28"/>
                <w:szCs w:val="32"/>
              </w:rPr>
            </w:pPr>
            <w:r>
              <w:rPr>
                <w:rFonts w:hint="eastAsia" w:ascii="方正仿宋_GBK" w:hAnsi="宋体" w:eastAsia="方正仿宋_GBK"/>
                <w:color w:val="000000"/>
                <w:sz w:val="28"/>
                <w:szCs w:val="32"/>
              </w:rPr>
              <w:t>（盖章）</w:t>
            </w:r>
          </w:p>
        </w:tc>
        <w:tc>
          <w:tcPr>
            <w:tcW w:w="3784" w:type="pct"/>
            <w:gridSpan w:val="3"/>
            <w:vAlign w:val="center"/>
          </w:tcPr>
          <w:p w14:paraId="478D5D49">
            <w:pPr>
              <w:adjustRightInd w:val="0"/>
              <w:snapToGrid w:val="0"/>
              <w:spacing w:line="360" w:lineRule="exact"/>
              <w:rPr>
                <w:rFonts w:ascii="仿宋_GB2312" w:hAnsi="仿宋_GB2312" w:eastAsia="仿宋_GB2312"/>
                <w:color w:val="000000"/>
                <w:sz w:val="28"/>
                <w:szCs w:val="32"/>
              </w:rPr>
            </w:pPr>
            <w:r>
              <w:rPr>
                <w:rFonts w:hint="eastAsia" w:ascii="仿宋_GB2312" w:hAnsi="仿宋_GB2312" w:eastAsia="仿宋_GB2312"/>
                <w:iCs/>
                <w:color w:val="000000"/>
                <w:sz w:val="28"/>
                <w:szCs w:val="32"/>
              </w:rPr>
              <w:t>湖北省生态环境科学研究院（省生态环境工程评估中心）、湖北省固体废物与化学品污染防治中心、中化学大江环保科技股份有限公司</w:t>
            </w:r>
          </w:p>
        </w:tc>
      </w:tr>
      <w:tr w14:paraId="0A421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4"/>
          </w:tcPr>
          <w:p w14:paraId="6C3C213E">
            <w:pPr>
              <w:adjustRightInd w:val="0"/>
              <w:snapToGrid w:val="0"/>
              <w:spacing w:line="400" w:lineRule="exact"/>
              <w:rPr>
                <w:rFonts w:ascii="黑体" w:hAnsi="黑体" w:eastAsia="黑体"/>
                <w:color w:val="000000"/>
                <w:sz w:val="28"/>
                <w:szCs w:val="28"/>
              </w:rPr>
            </w:pPr>
            <w:r>
              <w:rPr>
                <w:rFonts w:hint="eastAsia" w:ascii="黑体" w:hAnsi="黑体" w:eastAsia="黑体"/>
                <w:color w:val="000000"/>
                <w:sz w:val="28"/>
                <w:szCs w:val="28"/>
              </w:rPr>
              <w:t>1.项目简介</w:t>
            </w:r>
          </w:p>
          <w:p w14:paraId="59D43C56">
            <w:pPr>
              <w:snapToGrid w:val="0"/>
              <w:spacing w:line="4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（1）范围</w:t>
            </w:r>
          </w:p>
          <w:p w14:paraId="3E1B8FFA">
            <w:pPr>
              <w:snapToGrid w:val="0"/>
              <w:spacing w:line="4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本文件规定了含有色金属固体废物回收利用的总体要求、企业管理要求，</w:t>
            </w:r>
            <w:r>
              <w:rPr>
                <w:rFonts w:ascii="仿宋_GB2312" w:hAnsi="仿宋_GB2312" w:eastAsia="仿宋_GB2312" w:cs="仿宋_GB2312"/>
                <w:sz w:val="28"/>
                <w:szCs w:val="28"/>
              </w:rPr>
              <w:t>生态环境保护要求和回收利用产物管理要求。</w:t>
            </w:r>
          </w:p>
          <w:p w14:paraId="426F3067">
            <w:pPr>
              <w:snapToGrid w:val="0"/>
              <w:spacing w:line="4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本文件适用于有色金属冶炼、电子工</w:t>
            </w:r>
            <w:r>
              <w:rPr>
                <w:rFonts w:ascii="仿宋_GB2312" w:hAnsi="仿宋_GB2312" w:eastAsia="仿宋_GB2312" w:cs="仿宋_GB2312"/>
                <w:sz w:val="28"/>
                <w:szCs w:val="28"/>
              </w:rPr>
              <w:t>业</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金属表面处理、石油炼化、环境治理等行业产生的含有色金属的残渣</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粉尘</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烟尘</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污泥和废液等</w:t>
            </w:r>
            <w:r>
              <w:rPr>
                <w:rFonts w:hint="eastAsia" w:ascii="仿宋_GB2312" w:hAnsi="仿宋_GB2312" w:eastAsia="仿宋_GB2312" w:cs="仿宋_GB2312"/>
                <w:sz w:val="28"/>
                <w:szCs w:val="28"/>
              </w:rPr>
              <w:t>危险</w:t>
            </w:r>
            <w:r>
              <w:rPr>
                <w:rFonts w:ascii="仿宋_GB2312" w:hAnsi="仿宋_GB2312" w:eastAsia="仿宋_GB2312" w:cs="仿宋_GB2312"/>
                <w:sz w:val="28"/>
                <w:szCs w:val="28"/>
              </w:rPr>
              <w:t>废物的回收利用。</w:t>
            </w:r>
          </w:p>
          <w:p w14:paraId="3EA0BD4E">
            <w:pPr>
              <w:snapToGrid w:val="0"/>
              <w:spacing w:line="4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本文件不适用于有色金属行业采矿、选矿过程产生的固体废物回收利用，</w:t>
            </w:r>
            <w:r>
              <w:rPr>
                <w:rFonts w:ascii="仿宋_GB2312" w:hAnsi="仿宋_GB2312" w:eastAsia="仿宋_GB2312" w:cs="仿宋_GB2312"/>
                <w:sz w:val="28"/>
                <w:szCs w:val="28"/>
              </w:rPr>
              <w:t>也不适用于含放射性物质的</w:t>
            </w:r>
            <w:r>
              <w:rPr>
                <w:rFonts w:hint="eastAsia" w:ascii="仿宋_GB2312" w:hAnsi="仿宋_GB2312" w:eastAsia="仿宋_GB2312" w:cs="仿宋_GB2312"/>
                <w:sz w:val="28"/>
                <w:szCs w:val="28"/>
              </w:rPr>
              <w:t>固体</w:t>
            </w:r>
            <w:r>
              <w:rPr>
                <w:rFonts w:ascii="仿宋_GB2312" w:hAnsi="仿宋_GB2312" w:eastAsia="仿宋_GB2312" w:cs="仿宋_GB2312"/>
                <w:sz w:val="28"/>
                <w:szCs w:val="28"/>
              </w:rPr>
              <w:t>废物的回收利用。</w:t>
            </w:r>
          </w:p>
          <w:p w14:paraId="378B23AA">
            <w:pPr>
              <w:snapToGrid w:val="0"/>
              <w:spacing w:line="4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（2）主要技术内容</w:t>
            </w:r>
          </w:p>
          <w:p w14:paraId="6FE411CA">
            <w:pPr>
              <w:snapToGrid w:val="0"/>
              <w:spacing w:line="4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标准规定了含有色金属固体废物综合利用污染控制的总体要求，明确了，强调分类收集、入厂分析及规范贮存，细化了各类含有色金属固体废物综合利用工艺过程的污染控制措施，涵盖物理、化学、生物等处理工艺，制定了废水、废气、废渣、噪声等污染控制要求，设定了产物的综合利用要求和最终处置要求，提出了运行管理要求，包括企业管理要求、监测要求、信息公开等。</w:t>
            </w:r>
          </w:p>
          <w:p w14:paraId="1B8B54D7">
            <w:pPr>
              <w:snapToGrid w:val="0"/>
              <w:spacing w:line="4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（3）项目必要性和可行性</w:t>
            </w:r>
          </w:p>
          <w:p w14:paraId="4B4289A8">
            <w:pPr>
              <w:snapToGrid w:val="0"/>
              <w:spacing w:line="400" w:lineRule="exact"/>
              <w:ind w:firstLine="560" w:firstLineChars="200"/>
              <w:rPr>
                <w:rFonts w:ascii="仿宋_GB2312" w:hAnsi="仿宋_GB2312" w:eastAsia="仿宋_GB2312" w:cs="仿宋_GB2312"/>
                <w:sz w:val="28"/>
                <w:szCs w:val="28"/>
              </w:rPr>
            </w:pPr>
            <w:r>
              <w:rPr>
                <w:rFonts w:hint="eastAsia" w:ascii="仿宋_GB2312" w:hAnsi="仿宋_GB2312" w:eastAsia="仿宋_GB2312"/>
                <w:sz w:val="28"/>
                <w:szCs w:val="28"/>
              </w:rPr>
              <w:t>随着国家对资源综合利用尤其是资源综合利用的不断重视，为控制有色金属危险废物综合利用行业污染物排放、防止其污染物排放对环境造成污染和危害、促进有色金属危险废物综合利用行业生产技术装备和污染控制技术的进步，制定有色金属行业危险废物综合利用技术标准，对有色金属行业资源回收利用过程中产生的各种工艺参数、综合利用产品等统一规范具有重要意义。本标准的制订拟覆盖有色金属危险废物综合利用全过程和全要素，有利于有色金属的回收、处置和资源化，实现《关于加快推动工业资源综合利用的实施方案》主要目标，对推动我省有色金属行业危险废物的管理标准化、专业化也有重要指导意义，同时在一定程度上填补含有色金属废物综合利用标准缺失空白，倒逼综合利用企业加快提档升级，优化行业管理环境，促进含有色金属废物综合利用产业规范有序健康发展</w:t>
            </w:r>
            <w:r>
              <w:rPr>
                <w:rFonts w:hint="eastAsia" w:ascii="仿宋_GB2312" w:hAnsi="仿宋_GB2312" w:eastAsia="仿宋_GB2312" w:cs="仿宋_GB2312"/>
                <w:sz w:val="28"/>
                <w:szCs w:val="28"/>
              </w:rPr>
              <w:t>。</w:t>
            </w:r>
          </w:p>
          <w:p w14:paraId="52A7CBCB">
            <w:pPr>
              <w:snapToGrid w:val="0"/>
              <w:spacing w:line="4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从技术层面看，国内在含有色金属固体废物利用处置技术研发方面已取得显著进展，湿法浸出有价金属回收技术、选冶法综合回收技术、火法冶金综合回收技术、微生物浸出有价金属综合回收技术及生产建材综合利用技术等工艺不断成熟，部分企业已实现规模化应用，为标准的实施提供了技术支撑。在政策方面，国家和地方陆续出台了一系列关于固体废物污染防治、危险废物管理的法律法规及政策文件，为本规范的制定提供了政策依据与保障。此外，随着环保意识的提升，企业对含有色金属固体废物规范处置的重视程度不断提高，愿意投入资金进行技术改造与污染治理，具备实施本规范的主观意愿与经济基础。同时，湖北省内具备完善的环境监测与监管体系，能够对企业执行标准的情况进行有效监督，确保规范的顺利实施。</w:t>
            </w:r>
          </w:p>
        </w:tc>
      </w:tr>
      <w:tr w14:paraId="37A16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4"/>
          </w:tcPr>
          <w:p w14:paraId="2531D813">
            <w:pPr>
              <w:adjustRightInd w:val="0"/>
              <w:snapToGrid w:val="0"/>
              <w:spacing w:line="400" w:lineRule="exact"/>
              <w:rPr>
                <w:rFonts w:ascii="黑体" w:hAnsi="黑体" w:eastAsia="黑体"/>
                <w:color w:val="000000"/>
                <w:sz w:val="28"/>
                <w:szCs w:val="32"/>
              </w:rPr>
            </w:pPr>
            <w:r>
              <w:rPr>
                <w:rFonts w:hint="eastAsia" w:ascii="黑体" w:hAnsi="黑体" w:eastAsia="黑体"/>
                <w:color w:val="000000"/>
                <w:sz w:val="28"/>
                <w:szCs w:val="32"/>
              </w:rPr>
              <w:t>2.技术路线</w:t>
            </w:r>
          </w:p>
          <w:p w14:paraId="53D54011">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第一阶段：前期准备与基础研究</w:t>
            </w:r>
          </w:p>
          <w:p w14:paraId="3E6F96FC">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（1）问题识别与需求分析</w:t>
            </w:r>
          </w:p>
          <w:p w14:paraId="5A000D26">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现状调研：全面调研我国有色金属工业固废的种类、产生量、区域分布、现有利用处置方式和存在的主要环境问题（如重金属浸出、粉尘扩散等）。</w:t>
            </w:r>
          </w:p>
          <w:p w14:paraId="4F054F35">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瓶颈分析：识别当前在利用处置过程中污染控制的关键瓶颈和技术短板。</w:t>
            </w:r>
          </w:p>
          <w:p w14:paraId="19BC8D62">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标准衔接：分析与现行环保法规、标准（如《固废法》、危险废物名录、污染控制标准等）的衔接性与差异性。</w:t>
            </w:r>
          </w:p>
          <w:p w14:paraId="1FEFA76A">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（2）范围与术语界定</w:t>
            </w:r>
          </w:p>
          <w:p w14:paraId="47F65B82">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明确“规范”适用的具体废物类型、利用和处置活动的定义和边界。</w:t>
            </w:r>
          </w:p>
          <w:p w14:paraId="42D00757">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第二阶段：关键技术内容研究确定</w:t>
            </w:r>
          </w:p>
          <w:p w14:paraId="4A3F0816">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（3）类分级管理体系构建</w:t>
            </w:r>
          </w:p>
          <w:p w14:paraId="6F260284">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根据废物的危险特性（是否属于危险废物）、成分、利用处置方式的去向，建立分级分类的差异化管理和技术指标体系。</w:t>
            </w:r>
          </w:p>
          <w:p w14:paraId="224E34B3">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（4）全过程污染控制技术条款制定</w:t>
            </w:r>
          </w:p>
          <w:p w14:paraId="2D487A04">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收集与贮存：规定堆放场所设施要求，以及分区分类贮存规定。</w:t>
            </w:r>
          </w:p>
          <w:p w14:paraId="507DADC4">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运输：提出运输过程中的防泄漏、防扬散措施要求。</w:t>
            </w:r>
          </w:p>
          <w:p w14:paraId="00800888">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预处理与加工利用：</w:t>
            </w:r>
          </w:p>
          <w:p w14:paraId="4AD3F218">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过程控制：对利用处置工艺过程提出废气、废水、噪声的污染控制技术要求。</w:t>
            </w:r>
          </w:p>
          <w:p w14:paraId="3FFB4E66">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资源化产物要求：明确作为产品出厂或进入市场时，必须满足的产品质量标准要求，确保其使用过程的环境安全性。</w:t>
            </w:r>
          </w:p>
          <w:p w14:paraId="26FB6F88">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处置：对最终无法利用的废物，规定其最终处置要求。</w:t>
            </w:r>
          </w:p>
          <w:p w14:paraId="6D00D557">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（5）污染物排放控制指标筛选与限值确定</w:t>
            </w:r>
          </w:p>
          <w:p w14:paraId="17AD4194">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明确废水、废气、废渣、噪声等污染物排放要求。</w:t>
            </w:r>
          </w:p>
          <w:p w14:paraId="230A63C0">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（6）监测与环境管理要求</w:t>
            </w:r>
          </w:p>
          <w:p w14:paraId="6BBCD9EE">
            <w:pPr>
              <w:snapToGrid w:val="0"/>
              <w:spacing w:line="400" w:lineRule="exact"/>
              <w:ind w:firstLine="560" w:firstLineChars="200"/>
              <w:rPr>
                <w:rFonts w:ascii="仿宋_GB2312" w:hAnsi="仿宋_GB2312" w:eastAsia="仿宋_GB2312"/>
                <w:color w:val="000000"/>
                <w:sz w:val="28"/>
                <w:szCs w:val="32"/>
              </w:rPr>
            </w:pPr>
            <w:r>
              <w:rPr>
                <w:rFonts w:hint="eastAsia" w:ascii="仿宋_GB2312" w:hAnsi="仿宋_GB2312" w:eastAsia="仿宋_GB2312"/>
                <w:color w:val="000000"/>
                <w:sz w:val="28"/>
                <w:szCs w:val="32"/>
              </w:rPr>
              <w:t>制定企业自行监测的技术要求。</w:t>
            </w:r>
          </w:p>
          <w:p w14:paraId="1C2D154E">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第三阶段：标准成型与完善</w:t>
            </w:r>
          </w:p>
          <w:p w14:paraId="26E7F6FC">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（7）技术经济可行性论证</w:t>
            </w:r>
          </w:p>
          <w:p w14:paraId="2BFADBFE">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评估所提出的技术要求和限值对企业成本、行业发展的影响，确保标准技术可达、经济可行。</w:t>
            </w:r>
          </w:p>
          <w:p w14:paraId="2A19B46B">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（8）征求意见与修改完善</w:t>
            </w:r>
          </w:p>
          <w:p w14:paraId="372B3793">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广泛征求行业协会、企业、高等院校、专家、公众及管理部门意见，对标准草案进行修改和完善，确保其科学性和可操作性。</w:t>
            </w:r>
          </w:p>
          <w:p w14:paraId="663DE1DB">
            <w:pPr>
              <w:snapToGrid w:val="0"/>
              <w:spacing w:line="400" w:lineRule="exact"/>
              <w:ind w:firstLine="560" w:firstLineChars="200"/>
              <w:rPr>
                <w:rFonts w:hint="eastAsia" w:ascii="仿宋_GB2312" w:hAnsi="仿宋_GB2312" w:eastAsia="仿宋_GB2312"/>
                <w:color w:val="000000"/>
                <w:sz w:val="28"/>
                <w:szCs w:val="32"/>
              </w:rPr>
            </w:pPr>
            <w:r>
              <w:rPr>
                <w:rFonts w:hint="eastAsia" w:ascii="仿宋_GB2312" w:hAnsi="仿宋_GB2312" w:eastAsia="仿宋_GB2312"/>
                <w:color w:val="000000"/>
                <w:sz w:val="28"/>
                <w:szCs w:val="32"/>
              </w:rPr>
              <w:t>（9）报批与发布</w:t>
            </w:r>
          </w:p>
          <w:p w14:paraId="0497338D">
            <w:pPr>
              <w:snapToGrid w:val="0"/>
              <w:spacing w:line="400" w:lineRule="exact"/>
              <w:ind w:firstLine="560" w:firstLineChars="200"/>
              <w:rPr>
                <w:rFonts w:ascii="仿宋_GB2312" w:hAnsi="仿宋_GB2312" w:eastAsia="仿宋_GB2312"/>
                <w:color w:val="000000"/>
                <w:sz w:val="28"/>
                <w:szCs w:val="32"/>
              </w:rPr>
            </w:pPr>
            <w:r>
              <w:rPr>
                <w:rFonts w:hint="eastAsia" w:ascii="仿宋_GB2312" w:hAnsi="仿宋_GB2312" w:eastAsia="仿宋_GB2312"/>
                <w:color w:val="000000"/>
                <w:sz w:val="28"/>
                <w:szCs w:val="32"/>
              </w:rPr>
              <w:t>形成送审稿，通过专家评审后，报请主管部门批准发布。</w:t>
            </w:r>
          </w:p>
        </w:tc>
      </w:tr>
      <w:tr w14:paraId="5ED01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4"/>
          </w:tcPr>
          <w:p w14:paraId="4510EAA5">
            <w:pPr>
              <w:adjustRightInd w:val="0"/>
              <w:snapToGrid w:val="0"/>
              <w:spacing w:line="400" w:lineRule="exact"/>
              <w:rPr>
                <w:rFonts w:ascii="黑体" w:hAnsi="黑体" w:eastAsia="黑体"/>
                <w:color w:val="000000"/>
                <w:sz w:val="28"/>
                <w:szCs w:val="28"/>
              </w:rPr>
            </w:pPr>
            <w:r>
              <w:rPr>
                <w:rFonts w:hint="eastAsia" w:ascii="黑体" w:hAnsi="黑体" w:eastAsia="黑体"/>
                <w:color w:val="000000"/>
                <w:sz w:val="28"/>
                <w:szCs w:val="28"/>
              </w:rPr>
              <w:t>3</w:t>
            </w:r>
            <w:r>
              <w:rPr>
                <w:rFonts w:ascii="黑体" w:hAnsi="黑体" w:eastAsia="黑体"/>
                <w:color w:val="000000"/>
                <w:sz w:val="28"/>
                <w:szCs w:val="28"/>
              </w:rPr>
              <w:t>.</w:t>
            </w:r>
            <w:r>
              <w:rPr>
                <w:rFonts w:hint="eastAsia" w:ascii="黑体" w:hAnsi="黑体" w:eastAsia="黑体"/>
                <w:color w:val="000000"/>
                <w:sz w:val="28"/>
                <w:szCs w:val="28"/>
              </w:rPr>
              <w:t>标准比对</w:t>
            </w:r>
          </w:p>
          <w:p w14:paraId="5B5ECC4A">
            <w:pPr>
              <w:adjustRightInd w:val="0"/>
              <w:snapToGrid w:val="0"/>
              <w:spacing w:line="400" w:lineRule="exact"/>
              <w:ind w:firstLine="560" w:firstLineChars="200"/>
              <w:rPr>
                <w:rFonts w:ascii="仿宋_GB2312" w:hAnsi="仿宋_GB2312" w:eastAsia="仿宋_GB2312"/>
                <w:color w:val="000000"/>
                <w:sz w:val="28"/>
                <w:szCs w:val="32"/>
              </w:rPr>
            </w:pPr>
            <w:r>
              <w:rPr>
                <w:rFonts w:hint="eastAsia" w:ascii="仿宋_GB2312" w:hAnsi="仿宋_GB2312" w:eastAsia="仿宋_GB2312" w:cs="仿宋_GB2312"/>
                <w:sz w:val="28"/>
                <w:szCs w:val="32"/>
              </w:rPr>
              <w:t>目前含有色金属固体废物环境管理相关的标准包括《含有色金属固体废物回收利用技术规范》（GB/T 41012-2021）、《再生铜、铝、铅、锌工业污染物排放标准》（GB 31574—2015）等。已明确了含有色金属固体废物利用企业规范化发展的要求，从企业布局与项目选址、规模装备和工艺、资源综合利用及能耗、环境保护、产品质量和职业教育、安全生产、监督管理等方面提出了具体要求，引导行业企业提高精细化处理及直接利用水平，加快实现高质量发展。但含有色金属固体废物综合利用标准规范较为宽泛，部分管控指标未明确实施细则。至目前，含有色金属固体废物综合利用相关的标准除《含有色金属固体废物回收利用技术规范》（GB/T 41012-2021）外，仅江苏省生态环境厅出台了《含重金属污泥综合利用污染控制技术规范》（DB32_T 4710-2024），其余省份暂未开展相关标准的起草工作，因此开展湖北省含有色金属固体废物综合利用污染控制技术规范研究对加强固体废物生态环境标准规范体系建设，补齐我省重点行业综合利用标准缺失短板具有重要意义。本标准首次制定，与本行业现有的其他标准协调配套，没有冲突。</w:t>
            </w:r>
          </w:p>
        </w:tc>
      </w:tr>
      <w:tr w14:paraId="3002A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8" w:hRule="atLeast"/>
          <w:jc w:val="center"/>
        </w:trPr>
        <w:tc>
          <w:tcPr>
            <w:tcW w:w="5000" w:type="pct"/>
            <w:gridSpan w:val="4"/>
          </w:tcPr>
          <w:p w14:paraId="6FB5992B">
            <w:pPr>
              <w:adjustRightInd w:val="0"/>
              <w:snapToGrid w:val="0"/>
              <w:spacing w:line="400" w:lineRule="exact"/>
              <w:rPr>
                <w:rFonts w:ascii="黑体" w:hAnsi="黑体" w:eastAsia="黑体"/>
                <w:color w:val="000000"/>
                <w:sz w:val="28"/>
                <w:szCs w:val="28"/>
              </w:rPr>
            </w:pPr>
            <w:r>
              <w:rPr>
                <w:rFonts w:hint="eastAsia" w:ascii="黑体" w:hAnsi="黑体" w:eastAsia="黑体"/>
                <w:color w:val="000000"/>
                <w:sz w:val="28"/>
                <w:szCs w:val="28"/>
              </w:rPr>
              <w:t>4</w:t>
            </w:r>
            <w:r>
              <w:rPr>
                <w:rFonts w:ascii="黑体" w:hAnsi="黑体" w:eastAsia="黑体"/>
                <w:color w:val="000000"/>
                <w:sz w:val="28"/>
                <w:szCs w:val="28"/>
              </w:rPr>
              <w:t>.</w:t>
            </w:r>
            <w:r>
              <w:rPr>
                <w:rFonts w:hint="eastAsia" w:ascii="黑体" w:hAnsi="黑体" w:eastAsia="黑体"/>
                <w:color w:val="000000"/>
                <w:sz w:val="28"/>
                <w:szCs w:val="28"/>
              </w:rPr>
              <w:t>风险分析</w:t>
            </w:r>
          </w:p>
          <w:p w14:paraId="19F88E47">
            <w:pPr>
              <w:adjustRightInd w:val="0"/>
              <w:snapToGrid w:val="0"/>
              <w:spacing w:line="400" w:lineRule="exact"/>
              <w:ind w:firstLine="560" w:firstLineChars="200"/>
              <w:rPr>
                <w:rFonts w:ascii="仿宋_GB2312" w:hAnsi="仿宋_GB2312" w:eastAsia="仿宋_GB2312"/>
                <w:color w:val="000000"/>
                <w:sz w:val="28"/>
                <w:szCs w:val="28"/>
              </w:rPr>
            </w:pPr>
            <w:r>
              <w:rPr>
                <w:rFonts w:hint="eastAsia" w:ascii="仿宋_GB2312" w:hAnsi="仿宋_GB2312" w:eastAsia="仿宋_GB2312" w:cs="仿宋_GB2312"/>
                <w:sz w:val="28"/>
                <w:szCs w:val="32"/>
              </w:rPr>
              <w:t>《中华人民共和国固体废物污染环境防治法》第三章明确规定了对固体废物的收集、运输、利用和处置的要求，对有色金属废弃物的回收和利用提出了法律要求。此外，该法还对有色金属废弃物的污染源治理、信息公开和监督管理等方面做出了规定。《中华人民共和国固体废物污染环境防治法实施条例》第十二条规定了有色金属废弃物的收集、运输、利用和处置等行为的具体要求。</w:t>
            </w:r>
          </w:p>
          <w:p w14:paraId="24C1F78A">
            <w:pPr>
              <w:adjustRightInd w:val="0"/>
              <w:snapToGrid w:val="0"/>
              <w:spacing w:line="400" w:lineRule="exact"/>
              <w:ind w:firstLine="560" w:firstLineChars="200"/>
              <w:rPr>
                <w:rFonts w:ascii="仿宋_GB2312" w:hAnsi="仿宋_GB2312" w:eastAsia="仿宋_GB2312"/>
                <w:color w:val="000000"/>
                <w:sz w:val="28"/>
                <w:szCs w:val="28"/>
              </w:rPr>
            </w:pPr>
            <w:r>
              <w:rPr>
                <w:rFonts w:hint="eastAsia" w:ascii="仿宋_GB2312" w:hAnsi="仿宋_GB2312" w:eastAsia="仿宋_GB2312"/>
                <w:color w:val="000000"/>
                <w:sz w:val="28"/>
                <w:szCs w:val="28"/>
              </w:rPr>
              <w:t>本标准的制订，是基于我国现有法律规定，主要服务于鉴定机构、司法机关、行政机关等，若法条有所更新，遵循国家的最新要求。</w:t>
            </w:r>
          </w:p>
          <w:p w14:paraId="404238C8">
            <w:pPr>
              <w:adjustRightInd w:val="0"/>
              <w:snapToGrid w:val="0"/>
              <w:spacing w:line="400" w:lineRule="exact"/>
              <w:ind w:firstLine="560" w:firstLineChars="200"/>
              <w:rPr>
                <w:rFonts w:ascii="仿宋_GB2312" w:hAnsi="仿宋_GB2312" w:eastAsia="仿宋_GB2312"/>
                <w:color w:val="000000"/>
                <w:sz w:val="28"/>
                <w:szCs w:val="28"/>
              </w:rPr>
            </w:pPr>
            <w:r>
              <w:rPr>
                <w:rFonts w:hint="eastAsia" w:ascii="仿宋_GB2312" w:hAnsi="仿宋_GB2312" w:eastAsia="仿宋_GB2312"/>
                <w:color w:val="000000"/>
                <w:sz w:val="28"/>
                <w:szCs w:val="28"/>
              </w:rPr>
              <w:t>若标准与其他标准规定内容有出入，根据《司法鉴定程序通则》中第二十二条，应当依下列顺序遵守和采用该专业领域的技术标准和技术规范：</w:t>
            </w:r>
          </w:p>
          <w:p w14:paraId="47892DB8">
            <w:pPr>
              <w:adjustRightInd w:val="0"/>
              <w:snapToGrid w:val="0"/>
              <w:spacing w:line="400" w:lineRule="exact"/>
              <w:ind w:firstLine="560" w:firstLineChars="200"/>
              <w:rPr>
                <w:rFonts w:ascii="仿宋_GB2312" w:hAnsi="仿宋_GB2312" w:eastAsia="仿宋_GB2312"/>
                <w:color w:val="000000"/>
                <w:sz w:val="28"/>
                <w:szCs w:val="28"/>
              </w:rPr>
            </w:pPr>
            <w:r>
              <w:rPr>
                <w:rFonts w:hint="eastAsia" w:ascii="仿宋_GB2312" w:hAnsi="仿宋_GB2312" w:eastAsia="仿宋_GB2312"/>
                <w:color w:val="000000"/>
                <w:sz w:val="28"/>
                <w:szCs w:val="28"/>
              </w:rPr>
              <w:t>（1）国家标准和技术规范；</w:t>
            </w:r>
          </w:p>
          <w:p w14:paraId="74ABB63F">
            <w:pPr>
              <w:adjustRightInd w:val="0"/>
              <w:snapToGrid w:val="0"/>
              <w:spacing w:line="400" w:lineRule="exact"/>
              <w:ind w:firstLine="560" w:firstLineChars="200"/>
              <w:rPr>
                <w:rFonts w:ascii="仿宋_GB2312" w:hAnsi="仿宋_GB2312" w:eastAsia="仿宋_GB2312"/>
                <w:color w:val="000000"/>
                <w:sz w:val="28"/>
                <w:szCs w:val="28"/>
              </w:rPr>
            </w:pPr>
            <w:r>
              <w:rPr>
                <w:rFonts w:hint="eastAsia" w:ascii="仿宋_GB2312" w:hAnsi="仿宋_GB2312" w:eastAsia="仿宋_GB2312"/>
                <w:color w:val="000000"/>
                <w:sz w:val="28"/>
                <w:szCs w:val="28"/>
              </w:rPr>
              <w:t>（2）司法鉴定主管部门、司法鉴定行业组织或者相关行业主管部门制定的行业标准和技术规范；</w:t>
            </w:r>
          </w:p>
          <w:p w14:paraId="7A7B76E2">
            <w:pPr>
              <w:adjustRightInd w:val="0"/>
              <w:snapToGrid w:val="0"/>
              <w:spacing w:line="400" w:lineRule="exact"/>
              <w:ind w:firstLine="560" w:firstLineChars="200"/>
              <w:rPr>
                <w:rFonts w:ascii="仿宋_GB2312" w:hAnsi="仿宋_GB2312" w:eastAsia="仿宋_GB2312"/>
                <w:color w:val="000000"/>
                <w:sz w:val="28"/>
                <w:szCs w:val="28"/>
              </w:rPr>
            </w:pPr>
            <w:r>
              <w:rPr>
                <w:rFonts w:hint="eastAsia" w:ascii="仿宋_GB2312" w:hAnsi="仿宋_GB2312" w:eastAsia="仿宋_GB2312"/>
                <w:color w:val="000000"/>
                <w:sz w:val="28"/>
                <w:szCs w:val="28"/>
              </w:rPr>
              <w:t>（3）该专业领域多数专家认可的技术标准和技术规范。</w:t>
            </w:r>
          </w:p>
          <w:p w14:paraId="6D8CC0CC">
            <w:pPr>
              <w:adjustRightInd w:val="0"/>
              <w:snapToGrid w:val="0"/>
              <w:spacing w:line="400" w:lineRule="exact"/>
              <w:ind w:firstLine="560" w:firstLineChars="200"/>
              <w:rPr>
                <w:rFonts w:ascii="仿宋_GB2312" w:hAnsi="仿宋_GB2312" w:eastAsia="仿宋_GB2312"/>
                <w:color w:val="000000"/>
                <w:sz w:val="28"/>
                <w:szCs w:val="28"/>
              </w:rPr>
            </w:pPr>
            <w:r>
              <w:rPr>
                <w:rFonts w:hint="eastAsia" w:ascii="仿宋_GB2312" w:hAnsi="仿宋_GB2312" w:eastAsia="仿宋_GB2312"/>
                <w:color w:val="000000"/>
                <w:sz w:val="28"/>
                <w:szCs w:val="28"/>
              </w:rPr>
              <w:t>不具备前款规定的技术标准和技术规范的，可以采用所属司法鉴定机构自行制定的有关技术规范。</w:t>
            </w:r>
          </w:p>
          <w:p w14:paraId="7D7FEF0C">
            <w:pPr>
              <w:adjustRightInd w:val="0"/>
              <w:snapToGrid w:val="0"/>
              <w:spacing w:line="400" w:lineRule="exact"/>
              <w:ind w:firstLine="560" w:firstLineChars="200"/>
              <w:rPr>
                <w:rFonts w:ascii="仿宋_GB2312" w:hAnsi="仿宋_GB2312" w:eastAsia="仿宋_GB2312" w:cs="仿宋_GB2312"/>
                <w:sz w:val="28"/>
                <w:szCs w:val="32"/>
              </w:rPr>
            </w:pPr>
            <w:r>
              <w:rPr>
                <w:rFonts w:hint="eastAsia" w:ascii="仿宋_GB2312" w:hAnsi="仿宋_GB2312" w:eastAsia="仿宋_GB2312"/>
                <w:color w:val="000000"/>
                <w:sz w:val="28"/>
                <w:szCs w:val="28"/>
              </w:rPr>
              <w:t>标准实施后，出现的重大意见分歧时，按照司法部司法鉴定程序，存在异议的课题可通过研讨会讨论或其它方式解决，并载明异议。</w:t>
            </w:r>
          </w:p>
        </w:tc>
      </w:tr>
      <w:tr w14:paraId="4D92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7" w:hRule="atLeast"/>
          <w:jc w:val="center"/>
        </w:trPr>
        <w:tc>
          <w:tcPr>
            <w:tcW w:w="5000" w:type="pct"/>
            <w:gridSpan w:val="4"/>
          </w:tcPr>
          <w:p w14:paraId="6FD8673F">
            <w:pPr>
              <w:adjustRightInd w:val="0"/>
              <w:snapToGrid w:val="0"/>
              <w:spacing w:line="400" w:lineRule="exact"/>
              <w:rPr>
                <w:rFonts w:ascii="黑体" w:hAnsi="黑体" w:eastAsia="黑体"/>
                <w:color w:val="000000"/>
                <w:sz w:val="28"/>
                <w:szCs w:val="28"/>
              </w:rPr>
            </w:pPr>
            <w:r>
              <w:rPr>
                <w:rFonts w:hint="eastAsia" w:ascii="黑体" w:hAnsi="黑体" w:eastAsia="黑体"/>
                <w:color w:val="000000"/>
                <w:sz w:val="28"/>
                <w:szCs w:val="28"/>
              </w:rPr>
              <w:t>5.宣贯实施计划</w:t>
            </w:r>
          </w:p>
          <w:p w14:paraId="5BFDCF46">
            <w:pPr>
              <w:adjustRightInd w:val="0"/>
              <w:snapToGrid w:val="0"/>
              <w:spacing w:line="400" w:lineRule="exact"/>
              <w:ind w:firstLine="560" w:firstLineChars="200"/>
              <w:rPr>
                <w:rFonts w:hint="default" w:ascii="仿宋_GB2312" w:hAnsi="仿宋_GB2312" w:eastAsia="仿宋_GB2312"/>
                <w:color w:val="000000"/>
                <w:sz w:val="28"/>
                <w:szCs w:val="28"/>
                <w:lang w:val="en-US" w:eastAsia="zh-CN"/>
              </w:rPr>
            </w:pPr>
            <w:r>
              <w:rPr>
                <w:rFonts w:hint="eastAsia" w:ascii="仿宋_GB2312" w:hAnsi="仿宋_GB2312" w:eastAsia="仿宋_GB2312"/>
                <w:color w:val="000000"/>
                <w:sz w:val="28"/>
                <w:szCs w:val="28"/>
              </w:rPr>
              <w:t xml:space="preserve">第一阶段 </w:t>
            </w:r>
            <w:r>
              <w:rPr>
                <w:rFonts w:ascii="仿宋_GB2312" w:hAnsi="仿宋_GB2312" w:eastAsia="仿宋_GB2312"/>
                <w:color w:val="000000"/>
                <w:sz w:val="28"/>
                <w:szCs w:val="28"/>
              </w:rPr>
              <w:t>2025.1</w:t>
            </w:r>
            <w:r>
              <w:rPr>
                <w:rFonts w:hint="eastAsia" w:ascii="仿宋_GB2312" w:hAnsi="仿宋_GB2312" w:eastAsia="仿宋_GB2312"/>
                <w:color w:val="000000"/>
                <w:sz w:val="28"/>
                <w:szCs w:val="28"/>
              </w:rPr>
              <w:t>-2</w:t>
            </w:r>
            <w:r>
              <w:rPr>
                <w:rFonts w:ascii="仿宋_GB2312" w:hAnsi="仿宋_GB2312" w:eastAsia="仿宋_GB2312"/>
                <w:color w:val="000000"/>
                <w:sz w:val="28"/>
                <w:szCs w:val="28"/>
              </w:rPr>
              <w:t xml:space="preserve">025.4 </w:t>
            </w:r>
            <w:r>
              <w:rPr>
                <w:rFonts w:hint="eastAsia" w:ascii="仿宋_GB2312" w:hAnsi="仿宋_GB2312" w:eastAsia="仿宋_GB2312"/>
                <w:color w:val="000000"/>
                <w:sz w:val="28"/>
                <w:szCs w:val="28"/>
                <w:lang w:val="en-US" w:eastAsia="zh-CN"/>
              </w:rPr>
              <w:t>资料收集及调研</w:t>
            </w:r>
          </w:p>
          <w:p w14:paraId="3305A625">
            <w:pPr>
              <w:adjustRightInd w:val="0"/>
              <w:snapToGrid w:val="0"/>
              <w:spacing w:line="400" w:lineRule="exact"/>
              <w:ind w:firstLine="560" w:firstLineChars="200"/>
              <w:rPr>
                <w:rFonts w:ascii="仿宋_GB2312" w:hAnsi="仿宋_GB2312" w:eastAsia="仿宋_GB2312"/>
                <w:color w:val="000000"/>
                <w:sz w:val="28"/>
                <w:szCs w:val="28"/>
              </w:rPr>
            </w:pPr>
            <w:r>
              <w:rPr>
                <w:rFonts w:hint="eastAsia" w:ascii="仿宋_GB2312" w:hAnsi="仿宋_GB2312" w:eastAsia="仿宋_GB2312"/>
                <w:color w:val="000000"/>
                <w:sz w:val="28"/>
                <w:szCs w:val="28"/>
              </w:rPr>
              <w:t>在标准编制过程中，起草工作收集相关国家、行业、地方技术体系及标准。学习现有相关技术体系与标准，组织人员起草目录大纲及部分技术内容，达到立项标准。</w:t>
            </w:r>
          </w:p>
          <w:p w14:paraId="7AC39AA0">
            <w:pPr>
              <w:adjustRightInd w:val="0"/>
              <w:snapToGrid w:val="0"/>
              <w:spacing w:line="400" w:lineRule="exact"/>
              <w:ind w:firstLine="560" w:firstLineChars="200"/>
              <w:rPr>
                <w:rFonts w:hint="default" w:ascii="仿宋_GB2312" w:hAnsi="仿宋_GB2312" w:eastAsia="仿宋_GB2312"/>
                <w:color w:val="000000"/>
                <w:sz w:val="28"/>
                <w:szCs w:val="28"/>
                <w:lang w:val="en-US" w:eastAsia="zh-CN"/>
              </w:rPr>
            </w:pPr>
            <w:r>
              <w:rPr>
                <w:rFonts w:hint="eastAsia" w:ascii="仿宋_GB2312" w:hAnsi="仿宋_GB2312" w:eastAsia="仿宋_GB2312"/>
                <w:color w:val="000000"/>
                <w:sz w:val="28"/>
                <w:szCs w:val="28"/>
              </w:rPr>
              <w:t xml:space="preserve">第二阶段 </w:t>
            </w:r>
            <w:r>
              <w:rPr>
                <w:rFonts w:ascii="仿宋_GB2312" w:hAnsi="仿宋_GB2312" w:eastAsia="仿宋_GB2312"/>
                <w:color w:val="000000"/>
                <w:sz w:val="28"/>
                <w:szCs w:val="28"/>
              </w:rPr>
              <w:t>2025.5-2025.</w:t>
            </w:r>
            <w:r>
              <w:rPr>
                <w:rFonts w:hint="eastAsia" w:ascii="仿宋_GB2312" w:hAnsi="仿宋_GB2312" w:eastAsia="仿宋_GB2312"/>
                <w:color w:val="000000"/>
                <w:sz w:val="28"/>
                <w:szCs w:val="28"/>
                <w:lang w:val="en-US" w:eastAsia="zh-CN"/>
              </w:rPr>
              <w:t>8</w:t>
            </w:r>
            <w:r>
              <w:rPr>
                <w:rFonts w:ascii="仿宋_GB2312" w:hAnsi="仿宋_GB2312" w:eastAsia="仿宋_GB2312"/>
                <w:color w:val="000000"/>
                <w:sz w:val="28"/>
                <w:szCs w:val="28"/>
              </w:rPr>
              <w:t xml:space="preserve"> </w:t>
            </w:r>
            <w:r>
              <w:rPr>
                <w:rFonts w:hint="eastAsia" w:ascii="仿宋_GB2312" w:hAnsi="仿宋_GB2312" w:eastAsia="仿宋_GB2312"/>
                <w:color w:val="000000"/>
                <w:sz w:val="28"/>
                <w:szCs w:val="28"/>
                <w:lang w:val="en-US" w:eastAsia="zh-CN"/>
              </w:rPr>
              <w:t>起草标准草案</w:t>
            </w:r>
          </w:p>
          <w:p w14:paraId="3D0FED60">
            <w:pPr>
              <w:adjustRightInd w:val="0"/>
              <w:snapToGrid w:val="0"/>
              <w:spacing w:line="400" w:lineRule="exact"/>
              <w:ind w:firstLine="560" w:firstLineChars="200"/>
              <w:rPr>
                <w:rFonts w:ascii="仿宋_GB2312" w:hAnsi="仿宋_GB2312" w:eastAsia="仿宋_GB2312"/>
                <w:color w:val="000000"/>
                <w:sz w:val="28"/>
                <w:szCs w:val="28"/>
              </w:rPr>
            </w:pPr>
            <w:r>
              <w:rPr>
                <w:rFonts w:hint="eastAsia" w:ascii="仿宋_GB2312" w:hAnsi="仿宋_GB2312" w:eastAsia="仿宋_GB2312"/>
                <w:color w:val="000000"/>
                <w:sz w:val="28"/>
                <w:szCs w:val="28"/>
                <w:lang w:val="en-US" w:eastAsia="zh-CN"/>
              </w:rPr>
              <w:t>在标准编制过程中，起草工作收集相关国家、行业、地方技术体系及标准。学习现有相关技术体系与标准，组织人员起草目录大纲及部分技术内容，完成标准草案。</w:t>
            </w:r>
          </w:p>
          <w:p w14:paraId="27126274">
            <w:pPr>
              <w:adjustRightInd w:val="0"/>
              <w:snapToGrid w:val="0"/>
              <w:spacing w:line="400" w:lineRule="exact"/>
              <w:ind w:firstLine="560" w:firstLineChars="200"/>
              <w:rPr>
                <w:rFonts w:ascii="仿宋_GB2312" w:hAnsi="仿宋_GB2312" w:eastAsia="仿宋_GB2312"/>
                <w:color w:val="000000"/>
                <w:sz w:val="28"/>
                <w:szCs w:val="28"/>
              </w:rPr>
            </w:pPr>
            <w:r>
              <w:rPr>
                <w:rFonts w:hint="eastAsia" w:ascii="仿宋_GB2312" w:hAnsi="仿宋_GB2312" w:eastAsia="仿宋_GB2312"/>
                <w:color w:val="000000"/>
                <w:sz w:val="28"/>
                <w:szCs w:val="28"/>
              </w:rPr>
              <w:t xml:space="preserve">第三阶段 </w:t>
            </w:r>
            <w:r>
              <w:rPr>
                <w:rFonts w:ascii="仿宋_GB2312" w:hAnsi="仿宋_GB2312" w:eastAsia="仿宋_GB2312"/>
                <w:color w:val="000000"/>
                <w:sz w:val="28"/>
                <w:szCs w:val="28"/>
              </w:rPr>
              <w:t>2025.</w:t>
            </w:r>
            <w:r>
              <w:rPr>
                <w:rFonts w:hint="eastAsia" w:ascii="仿宋_GB2312" w:hAnsi="仿宋_GB2312" w:eastAsia="仿宋_GB2312"/>
                <w:color w:val="000000"/>
                <w:sz w:val="28"/>
                <w:szCs w:val="28"/>
                <w:lang w:val="en-US" w:eastAsia="zh-CN"/>
              </w:rPr>
              <w:t>9</w:t>
            </w:r>
            <w:r>
              <w:rPr>
                <w:rFonts w:ascii="仿宋_GB2312" w:hAnsi="仿宋_GB2312" w:eastAsia="仿宋_GB2312"/>
                <w:color w:val="000000"/>
                <w:sz w:val="28"/>
                <w:szCs w:val="28"/>
              </w:rPr>
              <w:t>-2025.</w:t>
            </w:r>
            <w:r>
              <w:rPr>
                <w:rFonts w:hint="eastAsia" w:ascii="仿宋_GB2312" w:hAnsi="仿宋_GB2312" w:eastAsia="仿宋_GB2312"/>
                <w:color w:val="000000"/>
                <w:sz w:val="28"/>
                <w:szCs w:val="28"/>
                <w:lang w:val="en-US" w:eastAsia="zh-CN"/>
              </w:rPr>
              <w:t>10</w:t>
            </w:r>
            <w:r>
              <w:rPr>
                <w:rFonts w:ascii="仿宋_GB2312" w:hAnsi="仿宋_GB2312" w:eastAsia="仿宋_GB2312"/>
                <w:color w:val="000000"/>
                <w:sz w:val="28"/>
                <w:szCs w:val="28"/>
              </w:rPr>
              <w:t xml:space="preserve"> </w:t>
            </w:r>
            <w:r>
              <w:rPr>
                <w:rFonts w:hint="eastAsia" w:ascii="仿宋_GB2312" w:hAnsi="仿宋_GB2312" w:eastAsia="仿宋_GB2312"/>
                <w:color w:val="000000"/>
                <w:sz w:val="28"/>
                <w:szCs w:val="28"/>
                <w:lang w:val="en-US" w:eastAsia="zh-CN"/>
              </w:rPr>
              <w:t>征求意见及</w:t>
            </w:r>
            <w:r>
              <w:rPr>
                <w:rFonts w:hint="eastAsia" w:ascii="仿宋_GB2312" w:hAnsi="仿宋_GB2312" w:eastAsia="仿宋_GB2312"/>
                <w:color w:val="000000"/>
                <w:sz w:val="28"/>
                <w:szCs w:val="28"/>
              </w:rPr>
              <w:t>技术评审</w:t>
            </w:r>
          </w:p>
          <w:p w14:paraId="0757C92C">
            <w:pPr>
              <w:adjustRightInd w:val="0"/>
              <w:snapToGrid w:val="0"/>
              <w:spacing w:line="400" w:lineRule="exact"/>
              <w:ind w:firstLine="560" w:firstLineChars="200"/>
              <w:rPr>
                <w:rFonts w:ascii="仿宋_GB2312" w:hAnsi="仿宋_GB2312" w:eastAsia="仿宋_GB2312"/>
                <w:color w:val="000000"/>
                <w:sz w:val="28"/>
                <w:szCs w:val="28"/>
              </w:rPr>
            </w:pPr>
            <w:r>
              <w:rPr>
                <w:rFonts w:hint="eastAsia" w:ascii="仿宋_GB2312" w:hAnsi="仿宋_GB2312" w:eastAsia="仿宋_GB2312"/>
                <w:color w:val="000000"/>
                <w:sz w:val="28"/>
                <w:szCs w:val="28"/>
              </w:rPr>
              <w:t>将完善后的标准送审稿、规范编制说明、意见汇总表及其他相关附件送分标委秘书处，采用会议或函审方式审查。通过审查后，根据评审意见进行修改并形成标准报批稿。</w:t>
            </w:r>
          </w:p>
          <w:p w14:paraId="4DCD45F8">
            <w:pPr>
              <w:adjustRightInd w:val="0"/>
              <w:snapToGrid w:val="0"/>
              <w:spacing w:line="400" w:lineRule="exact"/>
              <w:ind w:firstLine="560" w:firstLineChars="200"/>
              <w:rPr>
                <w:rFonts w:ascii="仿宋_GB2312" w:hAnsi="仿宋_GB2312" w:eastAsia="仿宋_GB2312"/>
                <w:color w:val="000000"/>
                <w:sz w:val="28"/>
                <w:szCs w:val="28"/>
              </w:rPr>
            </w:pPr>
            <w:r>
              <w:rPr>
                <w:rFonts w:hint="eastAsia" w:ascii="仿宋_GB2312" w:hAnsi="仿宋_GB2312" w:eastAsia="仿宋_GB2312"/>
                <w:color w:val="000000"/>
                <w:sz w:val="28"/>
                <w:szCs w:val="28"/>
              </w:rPr>
              <w:t>第四阶段 202</w:t>
            </w:r>
            <w:r>
              <w:rPr>
                <w:rFonts w:ascii="仿宋_GB2312" w:hAnsi="仿宋_GB2312" w:eastAsia="仿宋_GB2312"/>
                <w:color w:val="000000"/>
                <w:sz w:val="28"/>
                <w:szCs w:val="28"/>
              </w:rPr>
              <w:t>5</w:t>
            </w:r>
            <w:r>
              <w:rPr>
                <w:rFonts w:hint="eastAsia" w:ascii="仿宋_GB2312" w:hAnsi="仿宋_GB2312" w:eastAsia="仿宋_GB2312"/>
                <w:color w:val="000000"/>
                <w:sz w:val="28"/>
                <w:szCs w:val="28"/>
              </w:rPr>
              <w:t>.1</w:t>
            </w:r>
            <w:r>
              <w:rPr>
                <w:rFonts w:ascii="仿宋_GB2312" w:hAnsi="仿宋_GB2312" w:eastAsia="仿宋_GB2312"/>
                <w:color w:val="000000"/>
                <w:sz w:val="28"/>
                <w:szCs w:val="28"/>
              </w:rPr>
              <w:t>0-</w:t>
            </w:r>
            <w:r>
              <w:rPr>
                <w:rFonts w:hint="eastAsia" w:ascii="仿宋_GB2312" w:hAnsi="仿宋_GB2312" w:eastAsia="仿宋_GB2312"/>
                <w:color w:val="000000"/>
                <w:sz w:val="28"/>
                <w:szCs w:val="28"/>
              </w:rPr>
              <w:t>202</w:t>
            </w:r>
            <w:r>
              <w:rPr>
                <w:rFonts w:ascii="仿宋_GB2312" w:hAnsi="仿宋_GB2312" w:eastAsia="仿宋_GB2312"/>
                <w:color w:val="000000"/>
                <w:sz w:val="28"/>
                <w:szCs w:val="28"/>
              </w:rPr>
              <w:t>5</w:t>
            </w:r>
            <w:r>
              <w:rPr>
                <w:rFonts w:hint="eastAsia" w:ascii="仿宋_GB2312" w:hAnsi="仿宋_GB2312" w:eastAsia="仿宋_GB2312"/>
                <w:color w:val="000000"/>
                <w:sz w:val="28"/>
                <w:szCs w:val="28"/>
              </w:rPr>
              <w:t>.</w:t>
            </w:r>
            <w:r>
              <w:rPr>
                <w:rFonts w:ascii="仿宋_GB2312" w:hAnsi="仿宋_GB2312" w:eastAsia="仿宋_GB2312"/>
                <w:color w:val="000000"/>
                <w:sz w:val="28"/>
                <w:szCs w:val="28"/>
              </w:rPr>
              <w:t xml:space="preserve">12 </w:t>
            </w:r>
            <w:r>
              <w:rPr>
                <w:rFonts w:hint="eastAsia" w:ascii="仿宋_GB2312" w:hAnsi="仿宋_GB2312" w:eastAsia="仿宋_GB2312"/>
                <w:color w:val="000000"/>
                <w:sz w:val="28"/>
                <w:szCs w:val="28"/>
              </w:rPr>
              <w:t>宣贯实施</w:t>
            </w:r>
          </w:p>
          <w:p w14:paraId="570222A5">
            <w:pPr>
              <w:adjustRightInd w:val="0"/>
              <w:snapToGrid w:val="0"/>
              <w:spacing w:line="400" w:lineRule="exact"/>
              <w:ind w:firstLine="560" w:firstLineChars="200"/>
              <w:rPr>
                <w:rFonts w:ascii="仿宋_GB2312" w:hAnsi="仿宋_GB2312" w:eastAsia="仿宋_GB2312"/>
                <w:color w:val="000000"/>
                <w:sz w:val="28"/>
                <w:szCs w:val="28"/>
              </w:rPr>
            </w:pPr>
            <w:r>
              <w:rPr>
                <w:rFonts w:hint="eastAsia" w:ascii="仿宋_GB2312" w:hAnsi="仿宋_GB2312" w:eastAsia="仿宋_GB2312"/>
                <w:color w:val="000000"/>
                <w:sz w:val="28"/>
                <w:szCs w:val="28"/>
              </w:rPr>
              <w:t>本标准报批稿通过后，由湖北省标准化主管机构或专业主管部门编号、发布。</w:t>
            </w:r>
            <w:bookmarkStart w:id="0" w:name="_GoBack"/>
            <w:bookmarkEnd w:id="0"/>
          </w:p>
          <w:p w14:paraId="07F7EED5">
            <w:pPr>
              <w:pStyle w:val="4"/>
              <w:widowControl w:val="0"/>
              <w:snapToGrid w:val="0"/>
              <w:spacing w:before="0" w:beforeAutospacing="0" w:after="0" w:afterAutospacing="0" w:line="400" w:lineRule="exact"/>
              <w:ind w:firstLine="560" w:firstLineChars="200"/>
              <w:jc w:val="both"/>
              <w:rPr>
                <w:rFonts w:ascii="仿宋_GB2312" w:hAnsi="仿宋_GB2312" w:eastAsia="仿宋_GB2312" w:cs="仿宋_GB2312"/>
                <w:kern w:val="2"/>
                <w:sz w:val="28"/>
                <w:szCs w:val="32"/>
              </w:rPr>
            </w:pPr>
          </w:p>
        </w:tc>
      </w:tr>
      <w:tr w14:paraId="2C0F5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2" w:hRule="atLeast"/>
          <w:jc w:val="center"/>
        </w:trPr>
        <w:tc>
          <w:tcPr>
            <w:tcW w:w="5000" w:type="pct"/>
            <w:gridSpan w:val="4"/>
          </w:tcPr>
          <w:p w14:paraId="7A1CB15F">
            <w:pPr>
              <w:pStyle w:val="4"/>
              <w:widowControl w:val="0"/>
              <w:spacing w:before="0" w:beforeAutospacing="0" w:after="0" w:afterAutospacing="0" w:line="360" w:lineRule="exact"/>
              <w:jc w:val="both"/>
              <w:rPr>
                <w:rFonts w:ascii="黑体" w:hAnsi="黑体" w:eastAsia="黑体" w:cs="仿宋_GB2312"/>
                <w:kern w:val="2"/>
                <w:sz w:val="28"/>
                <w:szCs w:val="32"/>
              </w:rPr>
            </w:pPr>
            <w:r>
              <w:rPr>
                <w:rFonts w:hint="eastAsia" w:ascii="黑体" w:hAnsi="黑体" w:eastAsia="黑体" w:cs="仿宋_GB2312"/>
                <w:kern w:val="2"/>
                <w:sz w:val="28"/>
                <w:szCs w:val="32"/>
              </w:rPr>
              <w:t>6.专家组</w:t>
            </w:r>
          </w:p>
          <w:p w14:paraId="291938F7">
            <w:pPr>
              <w:pStyle w:val="4"/>
              <w:widowControl w:val="0"/>
              <w:spacing w:before="0" w:beforeAutospacing="0" w:after="0" w:afterAutospacing="0" w:line="360" w:lineRule="exact"/>
              <w:ind w:firstLine="560" w:firstLineChars="200"/>
              <w:jc w:val="both"/>
              <w:rPr>
                <w:rFonts w:hint="eastAsia" w:ascii="Times New Roman" w:hAnsi="Times New Roman" w:eastAsia="仿宋_GB2312" w:cs="Times New Roman"/>
                <w:color w:val="000000"/>
                <w:sz w:val="28"/>
                <w:szCs w:val="32"/>
                <w:lang w:val="en-US" w:eastAsia="zh-CN"/>
              </w:rPr>
            </w:pPr>
            <w:r>
              <w:rPr>
                <w:rFonts w:hint="eastAsia" w:ascii="Times New Roman" w:hAnsi="Times New Roman" w:eastAsia="仿宋_GB2312" w:cs="Times New Roman"/>
                <w:color w:val="000000"/>
                <w:sz w:val="28"/>
                <w:szCs w:val="32"/>
                <w:lang w:val="en-US" w:eastAsia="zh-CN"/>
              </w:rPr>
              <w:t>朱  燕，项目统筹。湖北省生态环境科学研究院，高级工程师，</w:t>
            </w:r>
            <w:r>
              <w:rPr>
                <w:rFonts w:hint="eastAsia" w:eastAsia="仿宋_GB2312" w:cs="Times New Roman"/>
                <w:color w:val="000000"/>
                <w:sz w:val="28"/>
                <w:szCs w:val="32"/>
                <w:lang w:val="en-US" w:eastAsia="zh-CN"/>
              </w:rPr>
              <w:t>环境工程，</w:t>
            </w:r>
            <w:r>
              <w:rPr>
                <w:rFonts w:hint="eastAsia" w:ascii="Times New Roman" w:hAnsi="Times New Roman" w:eastAsia="仿宋_GB2312" w:cs="Times New Roman"/>
                <w:color w:val="000000"/>
                <w:sz w:val="28"/>
                <w:szCs w:val="32"/>
                <w:lang w:val="en-US" w:eastAsia="zh-CN"/>
              </w:rPr>
              <w:t>所长。</w:t>
            </w:r>
          </w:p>
          <w:p w14:paraId="636FDABA">
            <w:pPr>
              <w:pStyle w:val="4"/>
              <w:widowControl w:val="0"/>
              <w:spacing w:before="0" w:beforeAutospacing="0" w:after="0" w:afterAutospacing="0" w:line="360" w:lineRule="exact"/>
              <w:ind w:firstLine="560" w:firstLineChars="200"/>
              <w:jc w:val="both"/>
              <w:rPr>
                <w:rFonts w:hint="eastAsia" w:ascii="Times New Roman" w:hAnsi="Times New Roman" w:eastAsia="仿宋_GB2312" w:cs="Times New Roman"/>
                <w:color w:val="000000"/>
                <w:sz w:val="28"/>
                <w:szCs w:val="32"/>
                <w:lang w:val="en-US" w:eastAsia="zh-CN"/>
              </w:rPr>
            </w:pPr>
            <w:r>
              <w:rPr>
                <w:rFonts w:hint="eastAsia" w:ascii="Times New Roman" w:hAnsi="Times New Roman" w:eastAsia="仿宋_GB2312" w:cs="Times New Roman"/>
                <w:color w:val="000000"/>
                <w:sz w:val="28"/>
                <w:szCs w:val="32"/>
                <w:lang w:val="en-US" w:eastAsia="zh-CN"/>
              </w:rPr>
              <w:t>王东方，编制组组长。湖北省生态环境科学研究院，高级工程师，环境工程。</w:t>
            </w:r>
          </w:p>
          <w:p w14:paraId="64EB8AE8">
            <w:pPr>
              <w:pStyle w:val="4"/>
              <w:widowControl w:val="0"/>
              <w:spacing w:before="0" w:beforeAutospacing="0" w:after="0" w:afterAutospacing="0" w:line="360" w:lineRule="exact"/>
              <w:ind w:firstLine="560" w:firstLineChars="200"/>
              <w:jc w:val="both"/>
              <w:rPr>
                <w:rFonts w:hint="default" w:ascii="方正仿宋_GBK" w:hAnsi="仿宋_GB2312" w:eastAsia="仿宋_GB2312" w:cs="仿宋_GB2312"/>
                <w:kern w:val="2"/>
                <w:sz w:val="28"/>
                <w:szCs w:val="32"/>
                <w:lang w:val="en-US" w:eastAsia="zh-CN"/>
              </w:rPr>
            </w:pPr>
            <w:r>
              <w:rPr>
                <w:rFonts w:hint="eastAsia" w:ascii="仿宋_GB2312" w:hAnsi="仿宋_GB2312" w:eastAsia="仿宋_GB2312"/>
                <w:iCs/>
                <w:color w:val="000000"/>
                <w:sz w:val="28"/>
                <w:szCs w:val="32"/>
                <w:lang w:val="en-US" w:eastAsia="zh-CN"/>
              </w:rPr>
              <w:t>由</w:t>
            </w:r>
            <w:r>
              <w:rPr>
                <w:rFonts w:hint="eastAsia" w:ascii="仿宋_GB2312" w:hAnsi="仿宋_GB2312" w:eastAsia="仿宋_GB2312"/>
                <w:iCs/>
                <w:color w:val="000000"/>
                <w:sz w:val="28"/>
                <w:szCs w:val="32"/>
              </w:rPr>
              <w:t>湖北省生态环境科学研究院（省生态环境工程评估中心）、湖北省固体废物与化学品污染防治中心、中化学大江环保科技股份有限公司</w:t>
            </w:r>
            <w:r>
              <w:rPr>
                <w:rFonts w:hint="eastAsia" w:ascii="仿宋_GB2312" w:hAnsi="仿宋_GB2312" w:eastAsia="仿宋_GB2312"/>
                <w:iCs/>
                <w:color w:val="000000"/>
                <w:sz w:val="28"/>
                <w:szCs w:val="32"/>
                <w:lang w:val="en-US" w:eastAsia="zh-CN"/>
              </w:rPr>
              <w:t>相关技术人员组成编制组。</w:t>
            </w:r>
          </w:p>
          <w:p w14:paraId="1C34AE4C">
            <w:pPr>
              <w:pStyle w:val="4"/>
              <w:widowControl w:val="0"/>
              <w:spacing w:before="0" w:beforeAutospacing="0" w:after="0" w:afterAutospacing="0" w:line="360" w:lineRule="exact"/>
              <w:jc w:val="both"/>
              <w:rPr>
                <w:rFonts w:ascii="方正仿宋_GBK" w:hAnsi="仿宋_GB2312" w:eastAsia="方正仿宋_GBK" w:cs="仿宋_GB2312"/>
                <w:sz w:val="28"/>
                <w:szCs w:val="32"/>
              </w:rPr>
            </w:pPr>
          </w:p>
        </w:tc>
      </w:tr>
    </w:tbl>
    <w:p w14:paraId="64D316B8">
      <w:pPr>
        <w:adjustRightInd w:val="0"/>
        <w:snapToGrid w:val="0"/>
        <w:spacing w:line="400" w:lineRule="exact"/>
        <w:rPr>
          <w:rFonts w:ascii="方正仿宋_GBK" w:eastAsia="方正仿宋_GBK"/>
          <w:color w:val="000000"/>
          <w:sz w:val="28"/>
          <w:szCs w:val="28"/>
        </w:rPr>
      </w:pPr>
      <w:r>
        <w:rPr>
          <w:rFonts w:hint="eastAsia" w:ascii="方正仿宋_GBK" w:eastAsia="方正仿宋_GBK"/>
          <w:b/>
          <w:color w:val="000000"/>
          <w:sz w:val="28"/>
          <w:szCs w:val="28"/>
        </w:rPr>
        <w:t>注：</w:t>
      </w:r>
      <w:r>
        <w:rPr>
          <w:rFonts w:hint="eastAsia" w:ascii="方正仿宋_GBK" w:eastAsia="方正仿宋_GBK"/>
          <w:color w:val="000000"/>
          <w:sz w:val="28"/>
          <w:szCs w:val="28"/>
        </w:rPr>
        <w:t>此表可根据内容多少调整格式，填写时删除斜体的填写说明。</w:t>
      </w:r>
    </w:p>
    <w:p w14:paraId="111B7C2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altName w:val="等线"/>
    <w:panose1 w:val="00000000000000000000"/>
    <w:charset w:val="86"/>
    <w:family w:val="auto"/>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3AA"/>
    <w:rsid w:val="00011B51"/>
    <w:rsid w:val="00170D7C"/>
    <w:rsid w:val="00182BF5"/>
    <w:rsid w:val="00193E0E"/>
    <w:rsid w:val="00257173"/>
    <w:rsid w:val="00353221"/>
    <w:rsid w:val="003C210F"/>
    <w:rsid w:val="00460B2D"/>
    <w:rsid w:val="004A3F7B"/>
    <w:rsid w:val="004F43AA"/>
    <w:rsid w:val="00524ECC"/>
    <w:rsid w:val="0053226D"/>
    <w:rsid w:val="00583E3F"/>
    <w:rsid w:val="00682CED"/>
    <w:rsid w:val="006853DD"/>
    <w:rsid w:val="006B3D99"/>
    <w:rsid w:val="006B6DD6"/>
    <w:rsid w:val="006F1C5B"/>
    <w:rsid w:val="0072698D"/>
    <w:rsid w:val="007834D1"/>
    <w:rsid w:val="009526DD"/>
    <w:rsid w:val="00A2788F"/>
    <w:rsid w:val="00A379F1"/>
    <w:rsid w:val="00A4735B"/>
    <w:rsid w:val="00A93934"/>
    <w:rsid w:val="00B02C7D"/>
    <w:rsid w:val="00B438D2"/>
    <w:rsid w:val="00B8577D"/>
    <w:rsid w:val="00BC2AEF"/>
    <w:rsid w:val="00BF31E2"/>
    <w:rsid w:val="00C41220"/>
    <w:rsid w:val="00C70049"/>
    <w:rsid w:val="00C752DC"/>
    <w:rsid w:val="00CD601B"/>
    <w:rsid w:val="00D22BD2"/>
    <w:rsid w:val="00D543B9"/>
    <w:rsid w:val="00F14A2B"/>
    <w:rsid w:val="00F2181B"/>
    <w:rsid w:val="00FF6833"/>
    <w:rsid w:val="0C00473A"/>
    <w:rsid w:val="3F1F465F"/>
    <w:rsid w:val="48B325DE"/>
    <w:rsid w:val="56A63783"/>
    <w:rsid w:val="6B0B7C00"/>
    <w:rsid w:val="74266A9B"/>
    <w:rsid w:val="77381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3197</Words>
  <Characters>3302</Characters>
  <Lines>24</Lines>
  <Paragraphs>6</Paragraphs>
  <TotalTime>0</TotalTime>
  <ScaleCrop>false</ScaleCrop>
  <LinksUpToDate>false</LinksUpToDate>
  <CharactersWithSpaces>3321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2025-08-21T21:20:00Z</dcterms:created>
  <dc:creator>cmx</dc:creator>
  <cp:lastModifiedBy>金海林</cp:lastModifiedBy>
  <dcterms:modified xsi:type="dcterms:W3CDTF">2025-08-29T02:43:05Z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eyJoZGlkIjoiNWFlYjc1YTA5ZWE1MDNjZWYyZjgzNTNiYzkyNmJiMmIiLCJ1c2VySWQiOiI0NDYyODA2MzIifQ==</vt:lpwstr>
  </property>
  <property fmtid="{D5CDD505-2E9C-101B-9397-08002B2CF9AE}" pid="3" name="KSOProductBuildVer">
    <vt:lpwstr>2052-12.1.0.22529</vt:lpwstr>
  </property>
  <property fmtid="{D5CDD505-2E9C-101B-9397-08002B2CF9AE}" pid="4" name="ICV">
    <vt:lpwstr>5428797E7D3642A794F06D37DB21733F_12</vt:lpwstr>
  </property>
</Properties>
</file>